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27C" w:rsidRPr="0010227C" w:rsidRDefault="0010227C" w:rsidP="0010227C">
      <w:pPr>
        <w:pStyle w:val="Default"/>
      </w:pPr>
      <w:r w:rsidRPr="0010227C">
        <w:rPr>
          <w:b/>
          <w:bCs/>
        </w:rPr>
        <w:t xml:space="preserve">5.100 (testo 2) </w:t>
      </w:r>
    </w:p>
    <w:p w:rsidR="0010227C" w:rsidRPr="0010227C" w:rsidRDefault="0010227C" w:rsidP="0010227C">
      <w:pPr>
        <w:pStyle w:val="Default"/>
      </w:pPr>
      <w:proofErr w:type="spellStart"/>
      <w:r w:rsidRPr="0010227C">
        <w:t>Pagliari</w:t>
      </w:r>
      <w:proofErr w:type="spellEnd"/>
      <w:r w:rsidRPr="0010227C">
        <w:t xml:space="preserve">, </w:t>
      </w:r>
      <w:r w:rsidRPr="0010227C">
        <w:rPr>
          <w:i/>
          <w:iCs/>
        </w:rPr>
        <w:t xml:space="preserve">relatore </w:t>
      </w:r>
    </w:p>
    <w:p w:rsidR="0010227C" w:rsidRPr="0010227C" w:rsidRDefault="0010227C" w:rsidP="0010227C">
      <w:pPr>
        <w:pStyle w:val="Default"/>
      </w:pPr>
      <w:r w:rsidRPr="0010227C">
        <w:rPr>
          <w:i/>
          <w:iCs/>
        </w:rPr>
        <w:t xml:space="preserve">Apportare le seguenti modificazioni: </w:t>
      </w:r>
    </w:p>
    <w:p w:rsidR="0010227C" w:rsidRPr="0010227C" w:rsidRDefault="0010227C" w:rsidP="0010227C">
      <w:pPr>
        <w:pStyle w:val="Default"/>
        <w:jc w:val="both"/>
        <w:rPr>
          <w:rFonts w:asciiTheme="minorHAnsi" w:hAnsiTheme="minorHAnsi"/>
          <w:b/>
        </w:rPr>
      </w:pPr>
      <w:r w:rsidRPr="0010227C">
        <w:rPr>
          <w:rFonts w:asciiTheme="minorHAnsi" w:hAnsiTheme="minorHAnsi"/>
          <w:i/>
          <w:iCs/>
        </w:rPr>
        <w:t xml:space="preserve">a) </w:t>
      </w:r>
      <w:r w:rsidRPr="0010227C">
        <w:rPr>
          <w:rFonts w:asciiTheme="minorHAnsi" w:hAnsiTheme="minorHAnsi"/>
          <w:b/>
          <w:i/>
          <w:iCs/>
        </w:rPr>
        <w:t xml:space="preserve">sopprimere i commi 1, 2 e 3; </w:t>
      </w:r>
    </w:p>
    <w:p w:rsidR="0010227C" w:rsidRPr="0010227C" w:rsidRDefault="0010227C" w:rsidP="0010227C">
      <w:pPr>
        <w:pStyle w:val="Default"/>
        <w:jc w:val="both"/>
        <w:rPr>
          <w:rFonts w:asciiTheme="minorHAnsi" w:hAnsiTheme="minorHAnsi"/>
        </w:rPr>
      </w:pPr>
      <w:r w:rsidRPr="0010227C">
        <w:rPr>
          <w:rFonts w:asciiTheme="minorHAnsi" w:hAnsiTheme="minorHAnsi"/>
          <w:i/>
          <w:iCs/>
        </w:rPr>
        <w:t xml:space="preserve">b) sostituire il comma 5 con il seguente: </w:t>
      </w:r>
      <w:r w:rsidRPr="0010227C">
        <w:rPr>
          <w:rFonts w:asciiTheme="minorHAnsi" w:hAnsiTheme="minorHAnsi"/>
        </w:rPr>
        <w:t>«5. Ai sensi dell’articolo 1, comma 2, della legge 6 novembre 2012, n. 190, la Commissione assume la denominazione di Autorità nazionale anticorruzione e per la valutazione e la trasparenza delle amministrazioni pubbliche (</w:t>
      </w:r>
      <w:proofErr w:type="spellStart"/>
      <w:r w:rsidRPr="0010227C">
        <w:rPr>
          <w:rFonts w:asciiTheme="minorHAnsi" w:hAnsiTheme="minorHAnsi"/>
        </w:rPr>
        <w:t>A.N.AC.</w:t>
      </w:r>
      <w:proofErr w:type="spellEnd"/>
      <w:r w:rsidRPr="0010227C">
        <w:rPr>
          <w:rFonts w:asciiTheme="minorHAnsi" w:hAnsiTheme="minorHAnsi"/>
        </w:rPr>
        <w:t xml:space="preserve">).»; </w:t>
      </w:r>
    </w:p>
    <w:p w:rsidR="0010227C" w:rsidRPr="0010227C" w:rsidRDefault="0010227C" w:rsidP="0010227C">
      <w:pPr>
        <w:pStyle w:val="Default"/>
        <w:jc w:val="both"/>
        <w:rPr>
          <w:rFonts w:asciiTheme="minorHAnsi" w:hAnsiTheme="minorHAnsi"/>
        </w:rPr>
      </w:pPr>
      <w:r w:rsidRPr="0010227C">
        <w:rPr>
          <w:rFonts w:asciiTheme="minorHAnsi" w:hAnsiTheme="minorHAnsi"/>
          <w:i/>
          <w:iCs/>
        </w:rPr>
        <w:t xml:space="preserve">c) dopo il comma 5 inserire i seguenti: </w:t>
      </w:r>
    </w:p>
    <w:p w:rsidR="0010227C" w:rsidRPr="0010227C" w:rsidRDefault="0010227C" w:rsidP="0010227C">
      <w:pPr>
        <w:pStyle w:val="Default"/>
        <w:jc w:val="both"/>
        <w:rPr>
          <w:rFonts w:asciiTheme="minorHAnsi" w:hAnsiTheme="minorHAnsi"/>
        </w:rPr>
      </w:pPr>
      <w:r w:rsidRPr="0010227C">
        <w:rPr>
          <w:rFonts w:asciiTheme="minorHAnsi" w:hAnsiTheme="minorHAnsi"/>
        </w:rPr>
        <w:t>«5-</w:t>
      </w:r>
      <w:r w:rsidRPr="0010227C">
        <w:rPr>
          <w:rFonts w:asciiTheme="minorHAnsi" w:hAnsiTheme="minorHAnsi"/>
          <w:i/>
          <w:iCs/>
        </w:rPr>
        <w:t>bis</w:t>
      </w:r>
      <w:r w:rsidRPr="0010227C">
        <w:rPr>
          <w:rFonts w:asciiTheme="minorHAnsi" w:hAnsiTheme="minorHAnsi"/>
        </w:rPr>
        <w:t xml:space="preserve">. L’articolo 13 del decreto legislativo 27 ottobre 2009, n. 150, il comma 3 è sostituito dal seguente: "3. L’Autorità è organo collegiale composto dal Presidente e quattro componenti scelti tra esperti di elevata professionalità, anche estranei all'amministrazione con comprovate competenze in Italia e all'estero, sia nel settore pubblico che in quello privato, di notoria indipendenza e comprovata esperienza in materia di contrasto alla corruzione, di management e misurazione della performance, nonché di gestione e valutazione del personale. Il Presidente e i componenti sono nominati, tenuto conto del principio delle pari opportunità di genere, con decreto del Presidente della Repubblica, previa deliberazione del Consiglio dei Ministri, previo parere favorevole delle Commissioni parlamentari competenti espresso a maggioranza dei due terzi dei componenti. Il Presidente è nominato su proposta del Ministro per la pubblica amministrazione, di concerto con il Ministro della giustizia e del Ministro dell’interno, i componenti sono nominati su proposta del Ministro per la pubblica amministrazione. Il Presidente e i componenti dell’Autorità non possono essere scelti tra persone che rivestono incarichi pubblici elettivi o cariche in partiti politici o in organizzazioni sindacali o che abbiano rivestito tali incarichi e cariche nei tre anni precedenti la nomina e, in ogni caso, non devono avere interessi di qualsiasi natura in conflitto con le funzioni dell’Autorità. I componenti sono nominati per un periodo di sei anni e non possono essere confermati nella carica.". </w:t>
      </w:r>
    </w:p>
    <w:p w:rsidR="0010227C" w:rsidRPr="0010227C" w:rsidRDefault="0010227C" w:rsidP="0010227C">
      <w:pPr>
        <w:pStyle w:val="Default"/>
        <w:jc w:val="both"/>
        <w:rPr>
          <w:rFonts w:asciiTheme="minorHAnsi" w:hAnsiTheme="minorHAnsi" w:cs="Calibri"/>
        </w:rPr>
      </w:pPr>
      <w:r w:rsidRPr="0010227C">
        <w:rPr>
          <w:rFonts w:asciiTheme="minorHAnsi" w:hAnsiTheme="minorHAnsi"/>
        </w:rPr>
        <w:t>5-</w:t>
      </w:r>
      <w:r w:rsidRPr="0010227C">
        <w:rPr>
          <w:rFonts w:asciiTheme="minorHAnsi" w:hAnsiTheme="minorHAnsi"/>
          <w:i/>
          <w:iCs/>
        </w:rPr>
        <w:t>ter</w:t>
      </w:r>
      <w:r w:rsidRPr="0010227C">
        <w:rPr>
          <w:rFonts w:asciiTheme="minorHAnsi" w:hAnsiTheme="minorHAnsi"/>
        </w:rPr>
        <w:t>. All’articolo 13 del decreto legislativo 27 ottobre 2009, n. 150, dopo il comma 3 sono inseriti i seguenti: "3-</w:t>
      </w:r>
      <w:r w:rsidRPr="0010227C">
        <w:rPr>
          <w:rFonts w:asciiTheme="minorHAnsi" w:hAnsiTheme="minorHAnsi"/>
          <w:i/>
          <w:iCs/>
        </w:rPr>
        <w:t>bis</w:t>
      </w:r>
      <w:r w:rsidRPr="0010227C">
        <w:rPr>
          <w:rFonts w:asciiTheme="minorHAnsi" w:hAnsiTheme="minorHAnsi"/>
        </w:rPr>
        <w:t xml:space="preserve">. Ai componenti e al personale dell’Autorità si applica il regime previsto dall'articolo 2, comma 10, della legge 14 novembre 1995, n. 481. Il Presidente e i componenti, se dipendenti da pubblica amministrazione o magistrati in attività di servizio sono collocati fuori ruolo, se ne fanno richiesta, e il posto corrispondente nella dotazione organica dell'amministrazione di appartenenza è reso indisponibile per tutta la durata del mandato; se professori universitari, sono collocati in aspettativa senza assegni. Al Presidente e ai componenti compete una indennità di funzione fissata con decreto del Presidente del Consiglio dei Ministri. </w:t>
      </w:r>
      <w:r w:rsidRPr="0010227C">
        <w:rPr>
          <w:rFonts w:asciiTheme="minorHAnsi" w:hAnsiTheme="minorHAnsi" w:cs="Calibri"/>
        </w:rPr>
        <w:t xml:space="preserve">25 </w:t>
      </w:r>
    </w:p>
    <w:p w:rsidR="0010227C" w:rsidRPr="0010227C" w:rsidRDefault="0010227C" w:rsidP="0010227C">
      <w:pPr>
        <w:pStyle w:val="Default"/>
        <w:jc w:val="both"/>
        <w:rPr>
          <w:rFonts w:asciiTheme="minorHAnsi" w:hAnsiTheme="minorHAnsi"/>
          <w:color w:val="auto"/>
        </w:rPr>
      </w:pPr>
      <w:r w:rsidRPr="0010227C">
        <w:rPr>
          <w:rFonts w:asciiTheme="minorHAnsi" w:hAnsiTheme="minorHAnsi"/>
          <w:color w:val="auto"/>
        </w:rPr>
        <w:t>3-</w:t>
      </w:r>
      <w:r w:rsidRPr="0010227C">
        <w:rPr>
          <w:rFonts w:asciiTheme="minorHAnsi" w:hAnsiTheme="minorHAnsi"/>
          <w:i/>
          <w:iCs/>
          <w:color w:val="auto"/>
        </w:rPr>
        <w:t xml:space="preserve">ter </w:t>
      </w:r>
      <w:r w:rsidRPr="0010227C">
        <w:rPr>
          <w:rFonts w:asciiTheme="minorHAnsi" w:hAnsiTheme="minorHAnsi"/>
          <w:color w:val="auto"/>
        </w:rPr>
        <w:t xml:space="preserve">. Il collegio nomina, su proposta del Presidente, un Segretario generale che sovrintende al funzionamento dei servizi e degli uffici e ne risponde al Presidente. L’Autorità definisce con propri regolamenti le norme concernenti il proprio funzionamento. </w:t>
      </w:r>
    </w:p>
    <w:p w:rsidR="0010227C" w:rsidRPr="0010227C" w:rsidRDefault="0010227C" w:rsidP="0010227C">
      <w:pPr>
        <w:pStyle w:val="Default"/>
        <w:jc w:val="both"/>
        <w:rPr>
          <w:rFonts w:asciiTheme="minorHAnsi" w:hAnsiTheme="minorHAnsi"/>
          <w:color w:val="auto"/>
        </w:rPr>
      </w:pPr>
      <w:r w:rsidRPr="0010227C">
        <w:rPr>
          <w:rFonts w:asciiTheme="minorHAnsi" w:hAnsiTheme="minorHAnsi"/>
          <w:color w:val="auto"/>
        </w:rPr>
        <w:t>3-</w:t>
      </w:r>
      <w:r w:rsidRPr="0010227C">
        <w:rPr>
          <w:rFonts w:asciiTheme="minorHAnsi" w:hAnsiTheme="minorHAnsi"/>
          <w:i/>
          <w:iCs/>
          <w:color w:val="auto"/>
        </w:rPr>
        <w:t>quater</w:t>
      </w:r>
      <w:r w:rsidRPr="0010227C">
        <w:rPr>
          <w:rFonts w:asciiTheme="minorHAnsi" w:hAnsiTheme="minorHAnsi"/>
          <w:color w:val="auto"/>
        </w:rPr>
        <w:t xml:space="preserve">. È istituito il ruolo organico del personale dipendente dell’Autorità, fissato nel limite di trenta unità. Con proprio regolamento l’Autorità definisce l'ordinamento delle carriere e le modalità del reclutamento, le modalità dell'inquadramento in ruolo del personale in servizio alla data dell'entrata in vigore del regolamento, il trattamento giuridico ed economico del personale, ripartisce l'organico tra il personale dei diversi livelli e quello delle qualifiche dirigenziali e disciplina l'organizzazione, il funzionamento dell'ufficio, la riscossione e la utilizzazione dei diritti di segreteria e la gestione delle spese. Il regolamento è pubblicato nella </w:t>
      </w:r>
      <w:r w:rsidRPr="0010227C">
        <w:rPr>
          <w:rFonts w:asciiTheme="minorHAnsi" w:hAnsiTheme="minorHAnsi"/>
          <w:i/>
          <w:iCs/>
          <w:color w:val="auto"/>
        </w:rPr>
        <w:t>Gazzetta Ufficiale</w:t>
      </w:r>
      <w:r w:rsidRPr="0010227C">
        <w:rPr>
          <w:rFonts w:asciiTheme="minorHAnsi" w:hAnsiTheme="minorHAnsi"/>
          <w:color w:val="auto"/>
        </w:rPr>
        <w:t xml:space="preserve">. </w:t>
      </w:r>
    </w:p>
    <w:p w:rsidR="0010227C" w:rsidRPr="0010227C" w:rsidRDefault="0010227C" w:rsidP="0010227C">
      <w:pPr>
        <w:pStyle w:val="Default"/>
        <w:jc w:val="both"/>
        <w:rPr>
          <w:rFonts w:asciiTheme="minorHAnsi" w:hAnsiTheme="minorHAnsi"/>
          <w:color w:val="auto"/>
        </w:rPr>
      </w:pPr>
      <w:r w:rsidRPr="0010227C">
        <w:rPr>
          <w:rFonts w:asciiTheme="minorHAnsi" w:hAnsiTheme="minorHAnsi"/>
          <w:color w:val="auto"/>
        </w:rPr>
        <w:t>3-</w:t>
      </w:r>
      <w:r w:rsidRPr="0010227C">
        <w:rPr>
          <w:rFonts w:asciiTheme="minorHAnsi" w:hAnsiTheme="minorHAnsi"/>
          <w:i/>
          <w:iCs/>
          <w:color w:val="auto"/>
        </w:rPr>
        <w:t>quinquies</w:t>
      </w:r>
      <w:r w:rsidRPr="0010227C">
        <w:rPr>
          <w:rFonts w:asciiTheme="minorHAnsi" w:hAnsiTheme="minorHAnsi"/>
          <w:color w:val="auto"/>
        </w:rPr>
        <w:t xml:space="preserve">. L'Autorità può avvalersi, per motivate esigenze, di dipendenti dello Stato o di altre pubbliche amministrazioni o di enti pubblici in posizione di comando, fuori ruolo o in aspettativa, nelle forme previste dai rispettivi ordinamenti, in numero non superiore, complessivamente, a 20 unità. L’Autorità può altresì conferire incarichi di consulenza per specifiche attività. Ai consulenti può essere riconosciuta una indennità stabilita con provvedimento collegiale dell’Autorità. </w:t>
      </w:r>
    </w:p>
    <w:p w:rsidR="0010227C" w:rsidRPr="0010227C" w:rsidRDefault="0010227C" w:rsidP="0010227C">
      <w:pPr>
        <w:pStyle w:val="Default"/>
        <w:jc w:val="both"/>
        <w:rPr>
          <w:rFonts w:asciiTheme="minorHAnsi" w:hAnsiTheme="minorHAnsi"/>
          <w:color w:val="auto"/>
        </w:rPr>
      </w:pPr>
      <w:r w:rsidRPr="0010227C">
        <w:rPr>
          <w:rFonts w:asciiTheme="minorHAnsi" w:hAnsiTheme="minorHAnsi"/>
          <w:color w:val="auto"/>
        </w:rPr>
        <w:lastRenderedPageBreak/>
        <w:t>3-</w:t>
      </w:r>
      <w:r w:rsidRPr="0010227C">
        <w:rPr>
          <w:rFonts w:asciiTheme="minorHAnsi" w:hAnsiTheme="minorHAnsi"/>
          <w:i/>
          <w:iCs/>
          <w:color w:val="auto"/>
        </w:rPr>
        <w:t>sexies</w:t>
      </w:r>
      <w:r w:rsidRPr="0010227C">
        <w:rPr>
          <w:rFonts w:asciiTheme="minorHAnsi" w:hAnsiTheme="minorHAnsi"/>
          <w:color w:val="auto"/>
        </w:rPr>
        <w:t xml:space="preserve">. Le spese di funzionamento dell'Autorità sono poste a carico di un fondo stanziato a tale scopo nel bilancio dello Stato e iscritto in apposito capitolo dello stato di previsione della Presidenza del Consiglio dei Ministri - Ministro per la pubblica amministrazione, nel quale confluisce lo stanziamento di cui all’articolo 13, comma 13, del decreto legislativo 27 ottobre 2009, n. 150. All’Autorità è garantita autonomia nella gestione finanziaria. Il rendiconto della gestione finanziaria è soggetto al controllo della Corte dei conti. </w:t>
      </w:r>
    </w:p>
    <w:p w:rsidR="00A91BB7" w:rsidRPr="0010227C" w:rsidRDefault="0010227C" w:rsidP="0010227C">
      <w:pPr>
        <w:jc w:val="both"/>
        <w:rPr>
          <w:sz w:val="24"/>
          <w:szCs w:val="24"/>
        </w:rPr>
      </w:pPr>
      <w:r w:rsidRPr="0010227C">
        <w:rPr>
          <w:sz w:val="24"/>
          <w:szCs w:val="24"/>
        </w:rPr>
        <w:t>3-</w:t>
      </w:r>
      <w:r w:rsidRPr="0010227C">
        <w:rPr>
          <w:i/>
          <w:iCs/>
          <w:sz w:val="24"/>
          <w:szCs w:val="24"/>
        </w:rPr>
        <w:t>septies</w:t>
      </w:r>
      <w:r w:rsidRPr="0010227C">
        <w:rPr>
          <w:sz w:val="24"/>
          <w:szCs w:val="24"/>
        </w:rPr>
        <w:t>. L’Autorità può avvalersi, per lo svolgimento della propria attività ispettiva e di accertamento, di personale della Guardia di Finanza, anche in posizione di comando e dell’Ispettorato della funzione pubblica. La modalità dell’</w:t>
      </w:r>
      <w:proofErr w:type="spellStart"/>
      <w:r w:rsidRPr="0010227C">
        <w:rPr>
          <w:sz w:val="24"/>
          <w:szCs w:val="24"/>
        </w:rPr>
        <w:t>avvalimento</w:t>
      </w:r>
      <w:proofErr w:type="spellEnd"/>
      <w:r w:rsidRPr="0010227C">
        <w:rPr>
          <w:sz w:val="24"/>
          <w:szCs w:val="24"/>
        </w:rPr>
        <w:t xml:space="preserve"> sono determinate a seguito di apposite convenzioni da stipularsi tra i ministri competenti e il Presidente dell’Autorità."»;</w:t>
      </w:r>
    </w:p>
    <w:sectPr w:rsidR="00A91BB7" w:rsidRPr="0010227C" w:rsidSect="00A91BB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0227C"/>
    <w:rsid w:val="0010227C"/>
    <w:rsid w:val="00A91B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1BB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022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4383</Characters>
  <Application>Microsoft Office Word</Application>
  <DocSecurity>0</DocSecurity>
  <Lines>36</Lines>
  <Paragraphs>10</Paragraphs>
  <ScaleCrop>false</ScaleCrop>
  <Company>acme</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2013-10-07T15:02:00Z</dcterms:created>
  <dcterms:modified xsi:type="dcterms:W3CDTF">2013-10-07T15:03:00Z</dcterms:modified>
</cp:coreProperties>
</file>