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b/>
          <w:bCs/>
          <w:color w:val="333333"/>
          <w:sz w:val="21"/>
          <w:szCs w:val="21"/>
          <w:lang w:eastAsia="it-IT"/>
        </w:rPr>
      </w:pPr>
      <w:r w:rsidRPr="00C219C3">
        <w:rPr>
          <w:rFonts w:ascii="Bookman Old Style" w:eastAsia="Times New Roman" w:hAnsi="Bookman Old Style" w:cs="Times New Roman"/>
          <w:b/>
          <w:bCs/>
          <w:color w:val="333333"/>
          <w:sz w:val="21"/>
          <w:szCs w:val="21"/>
          <w:lang w:eastAsia="it-IT"/>
        </w:rPr>
        <w:t xml:space="preserve">Fiorenza </w:t>
      </w:r>
      <w:proofErr w:type="spellStart"/>
      <w:r w:rsidRPr="00C219C3">
        <w:rPr>
          <w:rFonts w:ascii="Bookman Old Style" w:eastAsia="Times New Roman" w:hAnsi="Bookman Old Style" w:cs="Times New Roman"/>
          <w:b/>
          <w:bCs/>
          <w:color w:val="333333"/>
          <w:sz w:val="21"/>
          <w:szCs w:val="21"/>
          <w:lang w:eastAsia="it-IT"/>
        </w:rPr>
        <w:t>Sarzanini</w:t>
      </w:r>
      <w:proofErr w:type="spellEnd"/>
      <w:r w:rsidRPr="00C219C3">
        <w:rPr>
          <w:rFonts w:ascii="Bookman Old Style" w:eastAsia="Times New Roman" w:hAnsi="Bookman Old Style" w:cs="Times New Roman"/>
          <w:b/>
          <w:bCs/>
          <w:color w:val="333333"/>
          <w:sz w:val="21"/>
          <w:szCs w:val="21"/>
          <w:lang w:eastAsia="it-IT"/>
        </w:rPr>
        <w:t xml:space="preserve"> per il "Corriere della Sera"</w:t>
      </w:r>
      <w:r w:rsidR="00C219C3">
        <w:rPr>
          <w:rFonts w:ascii="Bookman Old Style" w:eastAsia="Times New Roman" w:hAnsi="Bookman Old Style" w:cs="Times New Roman"/>
          <w:b/>
          <w:bCs/>
          <w:color w:val="333333"/>
          <w:sz w:val="21"/>
          <w:szCs w:val="21"/>
          <w:lang w:eastAsia="it-IT"/>
        </w:rPr>
        <w:t xml:space="preserve"> del 15 giugno 2013.</w:t>
      </w:r>
    </w:p>
    <w:p w:rsidR="00C219C3" w:rsidRDefault="00C219C3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b/>
          <w:bCs/>
          <w:color w:val="333333"/>
          <w:sz w:val="21"/>
          <w:szCs w:val="21"/>
          <w:lang w:eastAsia="it-IT"/>
        </w:rPr>
      </w:pPr>
    </w:p>
    <w:p w:rsidR="00C219C3" w:rsidRPr="00BC3B1E" w:rsidRDefault="00C219C3" w:rsidP="00C219C3">
      <w:pPr>
        <w:shd w:val="clear" w:color="auto" w:fill="FFFFFF"/>
        <w:spacing w:after="84" w:line="240" w:lineRule="auto"/>
        <w:ind w:firstLine="709"/>
        <w:jc w:val="center"/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it-IT"/>
        </w:rPr>
      </w:pPr>
      <w:r w:rsidRPr="00C219C3"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it-IT"/>
        </w:rPr>
        <w:t xml:space="preserve">FONDI </w:t>
      </w:r>
      <w:r w:rsidR="006E0D1D"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it-IT"/>
        </w:rPr>
        <w:t>F</w:t>
      </w:r>
      <w:r w:rsidRPr="00C219C3"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it-IT"/>
        </w:rPr>
        <w:t>EC IN SVIZZERA.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A Natale, quando al Viminale arrivavano costosi regali spediti dalla banca svizzera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Hottinger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e destinati a prefetti e funzionari addetti ai fondi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, nessuno si stupiva. In quel dipartimento lo sapevano tutti che i soldi erano all'estero sin dal 2006, eppure facevano finta di nulla. La legge vieta alle istituzioni pubbliche di trasferire beni fuori dai confini, ma loro non se ne preoccupavano.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Sino all'aprile scorso, quando la notizia dell'inchiesta non è diventata pubblica e l'allora ministro Anna Maria Cancellieri ha istituito una commissione per ricostruire i passaggi chiave degli investimenti e scoprire chi li avesse autorizzati. Per recuperare la somma era comunque troppo tardi. I fondi erano ormai spariti, i guai giudiziari appena cominciati. L'ordinanza di cattura del prefetto Francesco La Motta e dei suoi presunti complici nelle ruberie di Stato, svela che cosa è accaduto negli ultimi anni nelle stanze del ministero dell'Interno.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Ma rivela anche come quei 10 milioni di euro siano stati depositati sul conto svizzero «400500» della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Hottinger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che risulta poi duplicato, poi spostati su una società di Chiasso, infine si siano praticamente volatilizzati. E come questo sia successo senza che nessuno - tra chi aveva la responsabilità del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dopo il passaggio di La Motta al vertice dell'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Aisi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, l'agenzia dei servizi segreti civili, avvenuto nel 2007 - si prendesse la briga di controllare come veniva realmente gestito il denaro.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«Gli investimenti - accusa il giudice - sono stati effettuati con un meccanismo assai complesso e poco trasparente che non prevedeva assolutamente il deposito degli utili nel conto corrente infruttifero acceso presso la tesoreria centrale. Non è mai stata acquisita periodicamente una precisa rendicontazione».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E dopo aver marcato «l'opacità dell'operazione e la sua assoluta antieconomicità per la Pubblica Amministrazione al di là del successivo svuotamento del conto», sottolinea come «non appare affatto inverosimile che la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Hottinger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società riconducibile 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Zullino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soggetto in stabili rapporti con la criminalità organizzata campana, sia stata costituita al precipuo scopo di gestire anche il patrimonio del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».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È stato proprio Zullino il primo a decidere di collaborare con i magistrati, assumendosi le proprie responsabilità. Ma ben prima del suo arresto aveva indicato nel prefetto La Motta l'unica persona che poteva decidere che cosa fare dei soldi. Il 3 maggio scorso, rispondendo via mail a un funzionario del Viminale che gli chiede dove sia il denaro «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Zullino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invita l'interlocutore a chiedere chiarimenti a La Motta, che ha sempre avuto mano libera ad operare sul conto svizzero».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Nel dicembre 2011 La Motta e i personaggi che hanno investito i 10 milioni del Viminale all'estero sono preoccupati perché il consiglio di amministrazione del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potrebbe chiedere il rientro dei soldi. E dunque, sottolinea il giudice nell'ordinanza di cattura, decidono di «ingraziarsi i membri del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al fine di dissuaderli dall'iniziativa di chiudere il conto presso la banca svizzera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Hottinger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nell'evidente timore che si scoprissero i milionari ammanchi». Le frenetiche conversazioni trascritte e analizzate in un'informativa consegnata al pubblico ministero Paolo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Ielo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dai carabinieri del Ros, svelano chi siano i destinatari delle loro attenzioni.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Scrivono gli investigatori dell'Arma: «In occasione delle canoniche festività Tartaglia non manca di omaggiare i solerti consiglieri ma, facendo sua l'indicazione fornita dal prefetto La Motta, vuole che i biglietti augurali siano a firma di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Zullino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su carta intestata della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Hottinger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. Lui si accolla il gravoso e dispendioso compito di provvedere all'acquisto dei regali e alla relativa consegna, tramite una persona di sua fiducia. In una telefonata tra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Zullino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e Tartaglia quest'ultimo afferma infatti che "Franco vuole 4 biglietti a firma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Zullino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".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Il broker chiede se "deve darli a quei rompi c... del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" e Tartaglia conferma chiedendo di intestare le buste Pria, Di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Maro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Polillo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Paniccia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e convenendo che "deve mandarlo anche 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Falzone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". Si tratta di nomi puntualmente ritrovati nell'organigramma del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a partire dal </w:t>
      </w: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lastRenderedPageBreak/>
        <w:t xml:space="preserve">prefetto Angela Pria, attuale capo del Dipartimento; il prefetto Lucia di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Maro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direttore del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; la dottoressa Mirella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Polillo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direttore amministrativo contabile area IV bilancio e consultivo; il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ragionier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Giulia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Paniccia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funzionario amministrativo ufficio pianificazione e affari generali; il dottor Roberto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Falzone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, dirigente di II fascia area IV bilancio e consultivo».</w:t>
      </w:r>
    </w:p>
    <w:p w:rsidR="00BC3B1E" w:rsidRPr="00BC3B1E" w:rsidRDefault="00BC3B1E" w:rsidP="00C219C3">
      <w:pPr>
        <w:shd w:val="clear" w:color="auto" w:fill="FFFFFF"/>
        <w:spacing w:after="84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Dichiara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Zullino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durante l'interrogatorio del 13 maggio scorso: «Prima di lasciare il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il prefetto La Motta ha richiesto l'apertura di un collaterale, ossia un finanziamento garantito dalle somme in essere sulla relazione bancaria e ivi investite. Una linea di credito che crebbe parallelamente al crescere del valore dell'investimento effettuato dal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sul conto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Hottinger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fino ad assumere un valore pari all'80 per cento». Ma la vera stranezza sono i trasferimenti alla società «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Silgocom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Sa» di Chiasso che secondo gli inquirenti potrebbe essere stata il veicolo per far sparire i soldi.</w:t>
      </w:r>
    </w:p>
    <w:p w:rsidR="00BC3B1E" w:rsidRPr="00BC3B1E" w:rsidRDefault="00BC3B1E" w:rsidP="00C219C3">
      <w:pPr>
        <w:shd w:val="clear" w:color="auto" w:fill="FFFFFF"/>
        <w:spacing w:after="100" w:line="240" w:lineRule="auto"/>
        <w:ind w:firstLine="709"/>
        <w:jc w:val="both"/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</w:pPr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Scrive il giudice dopo aver esaminato la documentazione contabile: «A fronte dei 10 milioni e 52mila euro che il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ha trasferito alla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Hottinger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, un milione e 145mila euro dovrebbero essere rientrati nella disponibilità del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ma non è stato possibile rinvenire alcuna indicazione sulle modalità; sei milioni e 500mila euro risultano trasferiti alla "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Silgocom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Sa" dai due rapporti intestati al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; sul conto </w:t>
      </w:r>
      <w:proofErr w:type="spellStart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>Fec</w:t>
      </w:r>
      <w:proofErr w:type="spellEnd"/>
      <w:r w:rsidRPr="00BC3B1E">
        <w:rPr>
          <w:rFonts w:ascii="Bookman Old Style" w:eastAsia="Times New Roman" w:hAnsi="Bookman Old Style" w:cs="Times New Roman"/>
          <w:color w:val="333333"/>
          <w:sz w:val="21"/>
          <w:szCs w:val="21"/>
          <w:lang w:eastAsia="it-IT"/>
        </w:rPr>
        <w:t xml:space="preserve"> dovrebbe esserci una disponibilità finanziaria di due milioni e 400mila euro, che invece, per mancanza di specifiche informazioni non risultano disponibili»</w:t>
      </w:r>
    </w:p>
    <w:p w:rsidR="00883EE9" w:rsidRPr="00C219C3" w:rsidRDefault="00883EE9" w:rsidP="00C219C3">
      <w:pPr>
        <w:ind w:firstLine="709"/>
        <w:jc w:val="both"/>
        <w:rPr>
          <w:rFonts w:ascii="Bookman Old Style" w:hAnsi="Bookman Old Style"/>
        </w:rPr>
      </w:pPr>
    </w:p>
    <w:sectPr w:rsidR="00883EE9" w:rsidRPr="00C219C3" w:rsidSect="00883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3B1E"/>
    <w:rsid w:val="006E0D1D"/>
    <w:rsid w:val="00883EE9"/>
    <w:rsid w:val="00BC3B1E"/>
    <w:rsid w:val="00C2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C3B1E"/>
    <w:rPr>
      <w:i/>
      <w:iCs/>
      <w:color w:val="F80101"/>
    </w:rPr>
  </w:style>
  <w:style w:type="character" w:styleId="Enfasigrassetto">
    <w:name w:val="Strong"/>
    <w:basedOn w:val="Carpredefinitoparagrafo"/>
    <w:uiPriority w:val="22"/>
    <w:qFormat/>
    <w:rsid w:val="00BC3B1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C3B1E"/>
    <w:pPr>
      <w:spacing w:after="84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45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861</Words>
  <Characters>4914</Characters>
  <Application>Microsoft Office Word</Application>
  <DocSecurity>0</DocSecurity>
  <Lines>40</Lines>
  <Paragraphs>11</Paragraphs>
  <ScaleCrop>false</ScaleCrop>
  <Company>acme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rabbit</dc:creator>
  <cp:keywords/>
  <dc:description/>
  <cp:lastModifiedBy>roger rabbit</cp:lastModifiedBy>
  <cp:revision>4</cp:revision>
  <dcterms:created xsi:type="dcterms:W3CDTF">2013-06-30T16:45:00Z</dcterms:created>
  <dcterms:modified xsi:type="dcterms:W3CDTF">2013-06-30T16:59:00Z</dcterms:modified>
</cp:coreProperties>
</file>